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33" w:rsidRDefault="009D0933">
      <w:pPr>
        <w:spacing w:line="240" w:lineRule="auto"/>
        <w:jc w:val="left"/>
        <w:rPr>
          <w:rFonts w:ascii="Arial" w:hAnsi="Arial" w:cs="Arial"/>
          <w:b/>
          <w:bCs/>
          <w:sz w:val="24"/>
          <w:szCs w:val="24"/>
          <w:u w:val="single"/>
          <w:lang w:eastAsia="es-ES"/>
        </w:rPr>
      </w:pPr>
    </w:p>
    <w:p w:rsidR="009D0933" w:rsidRDefault="004614C6">
      <w:pPr>
        <w:spacing w:line="240" w:lineRule="auto"/>
        <w:jc w:val="left"/>
        <w:rPr>
          <w:rFonts w:ascii="Arial" w:hAnsi="Arial" w:cs="Arial"/>
          <w:b/>
          <w:bCs/>
          <w:sz w:val="24"/>
          <w:szCs w:val="24"/>
          <w:u w:val="single"/>
          <w:lang w:eastAsia="es-ES"/>
        </w:rPr>
      </w:pPr>
      <w:r>
        <w:rPr>
          <w:rFonts w:ascii="Arial" w:hAnsi="Arial" w:cs="Arial"/>
          <w:b/>
          <w:bCs/>
          <w:sz w:val="24"/>
          <w:szCs w:val="24"/>
          <w:u w:val="single"/>
          <w:lang w:eastAsia="es-ES"/>
        </w:rPr>
        <w:t>ESTADO DE RESULTADOS</w:t>
      </w:r>
    </w:p>
    <w:p w:rsidR="009D0933" w:rsidRDefault="004614C6">
      <w:pPr>
        <w:shd w:val="clear" w:color="auto" w:fill="FFFFFF"/>
        <w:spacing w:before="300" w:after="300" w:line="240" w:lineRule="auto"/>
        <w:jc w:val="left"/>
        <w:outlineLvl w:val="2"/>
        <w:rPr>
          <w:rFonts w:ascii="Arial" w:hAnsi="Arial" w:cs="Arial"/>
          <w:b/>
          <w:bCs/>
          <w:sz w:val="24"/>
          <w:szCs w:val="24"/>
          <w:lang w:eastAsia="es-ES"/>
        </w:rPr>
      </w:pPr>
      <w:r>
        <w:rPr>
          <w:rFonts w:ascii="Arial" w:hAnsi="Arial" w:cs="Arial"/>
          <w:b/>
          <w:bCs/>
          <w:sz w:val="24"/>
          <w:szCs w:val="24"/>
          <w:lang w:eastAsia="es-ES"/>
        </w:rPr>
        <w:t>Ingresos Corrientes</w:t>
      </w:r>
    </w:p>
    <w:p w:rsidR="009D0933" w:rsidRDefault="004614C6">
      <w:pPr>
        <w:rPr>
          <w:rFonts w:ascii="Arial" w:hAnsi="Arial" w:cs="Arial"/>
          <w:b/>
          <w:bCs/>
          <w:sz w:val="24"/>
          <w:szCs w:val="24"/>
          <w:lang w:eastAsia="es-ES"/>
        </w:rPr>
      </w:pPr>
      <w:r>
        <w:rPr>
          <w:rFonts w:ascii="Arial" w:hAnsi="Arial" w:cs="Arial"/>
          <w:b/>
          <w:bCs/>
          <w:sz w:val="24"/>
          <w:szCs w:val="24"/>
          <w:lang w:eastAsia="es-ES"/>
        </w:rPr>
        <w:t>NOTA No. 1 Ingresos Tributarios</w:t>
      </w:r>
    </w:p>
    <w:p w:rsidR="009D0933" w:rsidRDefault="004614C6">
      <w:pPr>
        <w:pStyle w:val="Cuerpodetexto"/>
        <w:spacing w:line="240" w:lineRule="auto"/>
        <w:rPr>
          <w:rFonts w:ascii="Arial" w:hAnsi="Arial" w:cs="Arial"/>
          <w:sz w:val="24"/>
          <w:szCs w:val="24"/>
        </w:rPr>
      </w:pPr>
      <w:r>
        <w:rPr>
          <w:rFonts w:ascii="Arial" w:hAnsi="Arial" w:cs="Arial"/>
          <w:sz w:val="24"/>
          <w:szCs w:val="24"/>
        </w:rPr>
        <w:t>Esta partida está conformada por los ingresos correspondientes al impuesto de timbres topográficos y al impuesto sobre la Ley del Cemento, que tiene derecho de percibir la Universidad.</w:t>
      </w:r>
    </w:p>
    <w:p w:rsidR="009D0933" w:rsidRDefault="004614C6">
      <w:pPr>
        <w:pStyle w:val="Cuerpodetexto"/>
        <w:spacing w:line="240" w:lineRule="auto"/>
        <w:rPr>
          <w:rFonts w:ascii="Arial" w:hAnsi="Arial" w:cs="Arial"/>
          <w:sz w:val="24"/>
          <w:szCs w:val="24"/>
        </w:rPr>
      </w:pPr>
      <w:bookmarkStart w:id="0" w:name="_MON_1419937259"/>
      <w:bookmarkEnd w:id="0"/>
      <w:r>
        <w:rPr>
          <w:rFonts w:ascii="Arial" w:hAnsi="Arial" w:cs="Arial"/>
          <w:sz w:val="24"/>
          <w:szCs w:val="24"/>
        </w:rPr>
        <w:t>Los ingresos de la Ley del Cemento se registran con la  base efectivo,  ya que por limitaciones en el módulo de finanzas, se utiliza una única entrada de datos.</w:t>
      </w:r>
    </w:p>
    <w:p w:rsidR="00FC3A9D" w:rsidRDefault="00FC3A9D">
      <w:pPr>
        <w:pStyle w:val="Cuerpodetexto"/>
        <w:spacing w:line="240" w:lineRule="auto"/>
        <w:rPr>
          <w:rFonts w:ascii="Arial" w:hAnsi="Arial" w:cs="Arial"/>
          <w:sz w:val="24"/>
          <w:szCs w:val="24"/>
        </w:rPr>
      </w:pPr>
      <w:r w:rsidRPr="00FC3A9D">
        <w:rPr>
          <w:noProof/>
          <w:lang w:val="es-CR" w:eastAsia="es-CR"/>
        </w:rPr>
        <w:drawing>
          <wp:inline distT="0" distB="0" distL="0" distR="0">
            <wp:extent cx="6362700" cy="7905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Default="009D0933">
      <w:pPr>
        <w:pStyle w:val="Cuerpodetexto"/>
        <w:rPr>
          <w:rFonts w:ascii="Arial" w:hAnsi="Arial" w:cs="Arial"/>
          <w:b/>
          <w:bCs/>
          <w:sz w:val="24"/>
          <w:szCs w:val="24"/>
          <w:lang w:eastAsia="es-ES"/>
        </w:rPr>
      </w:pPr>
    </w:p>
    <w:p w:rsidR="009D0933" w:rsidRDefault="004614C6">
      <w:pPr>
        <w:pStyle w:val="Cuerpodetexto"/>
        <w:rPr>
          <w:rFonts w:ascii="Arial" w:hAnsi="Arial" w:cs="Arial"/>
          <w:b/>
          <w:bCs/>
          <w:sz w:val="24"/>
          <w:szCs w:val="24"/>
          <w:lang w:eastAsia="es-ES"/>
        </w:rPr>
      </w:pPr>
      <w:bookmarkStart w:id="1" w:name="_MON_1419937795"/>
      <w:bookmarkEnd w:id="1"/>
      <w:r>
        <w:rPr>
          <w:rFonts w:ascii="Arial" w:hAnsi="Arial" w:cs="Arial"/>
          <w:b/>
          <w:bCs/>
          <w:sz w:val="24"/>
          <w:szCs w:val="24"/>
          <w:lang w:eastAsia="es-ES"/>
        </w:rPr>
        <w:t>NOTA No. 2 Ingresos no Tributarios</w:t>
      </w:r>
    </w:p>
    <w:p w:rsidR="00FC3A9D" w:rsidRDefault="00FC3A9D">
      <w:pPr>
        <w:spacing w:line="240" w:lineRule="auto"/>
        <w:rPr>
          <w:rFonts w:ascii="Arial" w:hAnsi="Arial" w:cs="Arial"/>
          <w:sz w:val="24"/>
          <w:szCs w:val="24"/>
        </w:rPr>
      </w:pPr>
      <w:r w:rsidRPr="00FC3A9D">
        <w:rPr>
          <w:noProof/>
          <w:lang w:val="es-CR" w:eastAsia="es-CR"/>
        </w:rPr>
        <w:drawing>
          <wp:inline distT="0" distB="0" distL="0" distR="0">
            <wp:extent cx="6362700" cy="7905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Default="004614C6">
      <w:pPr>
        <w:spacing w:line="240" w:lineRule="auto"/>
        <w:rPr>
          <w:rFonts w:ascii="Arial" w:hAnsi="Arial" w:cs="Arial"/>
          <w:sz w:val="24"/>
          <w:szCs w:val="24"/>
        </w:rPr>
      </w:pPr>
      <w:r>
        <w:rPr>
          <w:rFonts w:ascii="Arial" w:hAnsi="Arial" w:cs="Arial"/>
          <w:sz w:val="24"/>
          <w:szCs w:val="24"/>
        </w:rPr>
        <w:t>Algunos de los  principales rubros que refleja esta cuenta son los siguientes:</w:t>
      </w:r>
    </w:p>
    <w:p w:rsidR="009D0933" w:rsidRDefault="004614C6">
      <w:pPr>
        <w:spacing w:line="240" w:lineRule="auto"/>
        <w:rPr>
          <w:rFonts w:ascii="Arial" w:hAnsi="Arial" w:cs="Arial"/>
          <w:sz w:val="24"/>
          <w:szCs w:val="24"/>
        </w:rPr>
      </w:pPr>
      <w:r>
        <w:rPr>
          <w:rFonts w:ascii="Arial" w:hAnsi="Arial" w:cs="Arial"/>
          <w:sz w:val="24"/>
          <w:szCs w:val="24"/>
        </w:rPr>
        <w:t>Los montos se muestran en miles de colones</w:t>
      </w:r>
      <w:r w:rsidR="00FC3A9D">
        <w:rPr>
          <w:rFonts w:ascii="Arial" w:hAnsi="Arial" w:cs="Arial"/>
          <w:sz w:val="24"/>
          <w:szCs w:val="24"/>
        </w:rPr>
        <w:t>.</w:t>
      </w:r>
    </w:p>
    <w:p w:rsidR="00FC3A9D" w:rsidRDefault="00FC3A9D">
      <w:pPr>
        <w:spacing w:line="240" w:lineRule="auto"/>
        <w:rPr>
          <w:rFonts w:ascii="Arial" w:hAnsi="Arial" w:cs="Arial"/>
          <w:sz w:val="24"/>
          <w:szCs w:val="24"/>
        </w:rPr>
      </w:pPr>
      <w:r w:rsidRPr="00FC3A9D">
        <w:rPr>
          <w:noProof/>
          <w:lang w:val="es-CR" w:eastAsia="es-CR"/>
        </w:rPr>
        <w:drawing>
          <wp:inline distT="0" distB="0" distL="0" distR="0">
            <wp:extent cx="4619625" cy="12096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209675"/>
                    </a:xfrm>
                    <a:prstGeom prst="rect">
                      <a:avLst/>
                    </a:prstGeom>
                    <a:noFill/>
                    <a:ln>
                      <a:noFill/>
                    </a:ln>
                  </pic:spPr>
                </pic:pic>
              </a:graphicData>
            </a:graphic>
          </wp:inline>
        </w:drawing>
      </w:r>
    </w:p>
    <w:p w:rsidR="00FC3A9D" w:rsidRDefault="00FC3A9D">
      <w:pPr>
        <w:spacing w:line="240" w:lineRule="auto"/>
        <w:rPr>
          <w:rFonts w:ascii="Arial" w:hAnsi="Arial" w:cs="Arial"/>
          <w:sz w:val="24"/>
          <w:szCs w:val="24"/>
        </w:rPr>
      </w:pPr>
    </w:p>
    <w:p w:rsidR="009D0933" w:rsidRDefault="004614C6">
      <w:pPr>
        <w:tabs>
          <w:tab w:val="left" w:pos="5954"/>
        </w:tabs>
        <w:rPr>
          <w:rFonts w:ascii="Arial" w:hAnsi="Arial" w:cs="Arial"/>
          <w:b/>
          <w:bCs/>
          <w:sz w:val="24"/>
          <w:szCs w:val="24"/>
          <w:lang w:eastAsia="es-ES"/>
        </w:rPr>
      </w:pPr>
      <w:bookmarkStart w:id="2" w:name="_MON_1419938316"/>
      <w:bookmarkEnd w:id="2"/>
      <w:r w:rsidRPr="00FC3A9D">
        <w:rPr>
          <w:rFonts w:ascii="Arial" w:hAnsi="Arial" w:cs="Arial"/>
          <w:b/>
          <w:bCs/>
          <w:sz w:val="24"/>
          <w:szCs w:val="24"/>
          <w:lang w:eastAsia="es-ES"/>
        </w:rPr>
        <w:t>NOTA No. 3 Transferencias corrientes y de capital</w:t>
      </w:r>
    </w:p>
    <w:p w:rsidR="00FC3A9D" w:rsidRPr="00FC3A9D" w:rsidRDefault="00FC3A9D">
      <w:pPr>
        <w:tabs>
          <w:tab w:val="left" w:pos="5954"/>
        </w:tabs>
        <w:rPr>
          <w:rFonts w:ascii="Arial" w:hAnsi="Arial" w:cs="Arial"/>
          <w:b/>
          <w:bCs/>
          <w:sz w:val="24"/>
          <w:szCs w:val="24"/>
          <w:lang w:eastAsia="es-ES"/>
        </w:rPr>
      </w:pPr>
      <w:r w:rsidRPr="00FC3A9D">
        <w:rPr>
          <w:noProof/>
          <w:lang w:val="es-CR" w:eastAsia="es-CR"/>
        </w:rPr>
        <w:drawing>
          <wp:inline distT="0" distB="0" distL="0" distR="0">
            <wp:extent cx="6362700" cy="7905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Default="004614C6">
      <w:pPr>
        <w:tabs>
          <w:tab w:val="left" w:pos="5954"/>
        </w:tabs>
        <w:spacing w:line="240" w:lineRule="auto"/>
        <w:rPr>
          <w:rFonts w:ascii="Arial" w:hAnsi="Arial" w:cs="Arial"/>
          <w:sz w:val="24"/>
          <w:szCs w:val="24"/>
        </w:rPr>
      </w:pPr>
      <w:r>
        <w:rPr>
          <w:rFonts w:ascii="Arial" w:hAnsi="Arial" w:cs="Arial"/>
          <w:sz w:val="24"/>
          <w:szCs w:val="24"/>
        </w:rPr>
        <w:t>Son las rentas obtenidas por la institución generalmente por leyes, como lo es el financiamiento de la educación superior FEES, Rentas Propias a continuación se detalla algunos de los principales rubros, las partidas se muestran en miles de colones.</w:t>
      </w:r>
    </w:p>
    <w:p w:rsidR="00FC3A9D" w:rsidRDefault="00FC3A9D">
      <w:pPr>
        <w:tabs>
          <w:tab w:val="left" w:pos="5954"/>
        </w:tabs>
        <w:spacing w:line="240" w:lineRule="auto"/>
        <w:rPr>
          <w:rFonts w:ascii="Arial" w:hAnsi="Arial" w:cs="Arial"/>
          <w:sz w:val="24"/>
          <w:szCs w:val="24"/>
        </w:rPr>
      </w:pPr>
      <w:r w:rsidRPr="00FC3A9D">
        <w:rPr>
          <w:noProof/>
          <w:lang w:val="es-CR" w:eastAsia="es-CR"/>
        </w:rPr>
        <w:lastRenderedPageBreak/>
        <w:drawing>
          <wp:inline distT="0" distB="0" distL="0" distR="0">
            <wp:extent cx="4619625" cy="10096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1009650"/>
                    </a:xfrm>
                    <a:prstGeom prst="rect">
                      <a:avLst/>
                    </a:prstGeom>
                    <a:noFill/>
                    <a:ln>
                      <a:noFill/>
                    </a:ln>
                  </pic:spPr>
                </pic:pic>
              </a:graphicData>
            </a:graphic>
          </wp:inline>
        </w:drawing>
      </w:r>
    </w:p>
    <w:p w:rsidR="009D0933" w:rsidRDefault="009D0933">
      <w:pPr>
        <w:spacing w:line="240" w:lineRule="auto"/>
        <w:rPr>
          <w:rFonts w:ascii="Arial" w:hAnsi="Arial" w:cs="Arial"/>
          <w:sz w:val="24"/>
          <w:szCs w:val="24"/>
        </w:rPr>
      </w:pPr>
    </w:p>
    <w:p w:rsidR="009D0933" w:rsidRPr="00FC3A9D" w:rsidRDefault="004614C6">
      <w:pPr>
        <w:shd w:val="clear" w:color="auto" w:fill="FFFFFF"/>
        <w:spacing w:before="300" w:after="300"/>
        <w:jc w:val="left"/>
        <w:outlineLvl w:val="2"/>
        <w:rPr>
          <w:rFonts w:ascii="Arial" w:hAnsi="Arial" w:cs="Arial"/>
          <w:b/>
          <w:bCs/>
          <w:sz w:val="24"/>
          <w:szCs w:val="24"/>
          <w:lang w:eastAsia="es-ES"/>
        </w:rPr>
      </w:pPr>
      <w:r w:rsidRPr="00FC3A9D">
        <w:rPr>
          <w:rFonts w:ascii="Arial" w:hAnsi="Arial" w:cs="Arial"/>
          <w:b/>
          <w:bCs/>
          <w:sz w:val="24"/>
          <w:szCs w:val="24"/>
          <w:lang w:eastAsia="es-ES"/>
        </w:rPr>
        <w:t>Gastos Corrientes</w:t>
      </w:r>
    </w:p>
    <w:p w:rsidR="009D0933" w:rsidRPr="00FC3A9D" w:rsidRDefault="004614C6">
      <w:pPr>
        <w:rPr>
          <w:rFonts w:ascii="Arial" w:hAnsi="Arial" w:cs="Arial"/>
          <w:b/>
          <w:bCs/>
          <w:sz w:val="24"/>
          <w:szCs w:val="24"/>
          <w:lang w:eastAsia="es-ES"/>
        </w:rPr>
      </w:pPr>
      <w:r w:rsidRPr="00FC3A9D">
        <w:rPr>
          <w:rFonts w:ascii="Arial" w:hAnsi="Arial" w:cs="Arial"/>
          <w:b/>
          <w:bCs/>
          <w:sz w:val="24"/>
          <w:szCs w:val="24"/>
          <w:lang w:eastAsia="es-ES"/>
        </w:rPr>
        <w:t>NOTA No. 4 Remuneraciones</w:t>
      </w:r>
    </w:p>
    <w:p w:rsidR="009D0933" w:rsidRDefault="004614C6">
      <w:pPr>
        <w:spacing w:line="240" w:lineRule="auto"/>
        <w:rPr>
          <w:rFonts w:ascii="Arial" w:hAnsi="Arial" w:cs="Arial"/>
          <w:bCs/>
          <w:sz w:val="24"/>
          <w:szCs w:val="24"/>
          <w:lang w:eastAsia="es-ES"/>
        </w:rPr>
      </w:pPr>
      <w:bookmarkStart w:id="3" w:name="_MON_1419938760"/>
      <w:bookmarkEnd w:id="3"/>
      <w:r>
        <w:rPr>
          <w:rFonts w:ascii="Arial" w:hAnsi="Arial" w:cs="Arial"/>
          <w:bCs/>
          <w:sz w:val="24"/>
          <w:szCs w:val="24"/>
          <w:lang w:eastAsia="es-ES"/>
        </w:rPr>
        <w:t>Corresponde al pago en efectivo o en especie, así como las cargas sociales generadas por el recurso humano de la institución.</w:t>
      </w:r>
    </w:p>
    <w:p w:rsidR="009D0933" w:rsidRDefault="00FC3A9D">
      <w:pPr>
        <w:pStyle w:val="Textoindependiente2"/>
        <w:rPr>
          <w:rFonts w:ascii="Arial" w:hAnsi="Arial" w:cs="Arial"/>
          <w:b/>
          <w:bCs/>
          <w:color w:val="0070C0"/>
          <w:sz w:val="24"/>
          <w:szCs w:val="24"/>
          <w:lang w:eastAsia="es-ES"/>
        </w:rPr>
      </w:pPr>
      <w:bookmarkStart w:id="4" w:name="_Hlk48961705"/>
      <w:bookmarkEnd w:id="4"/>
      <w:r w:rsidRPr="00FC3A9D">
        <w:rPr>
          <w:noProof/>
          <w:lang w:val="es-CR" w:eastAsia="es-CR"/>
        </w:rPr>
        <w:drawing>
          <wp:inline distT="0" distB="0" distL="0" distR="0">
            <wp:extent cx="6362700" cy="790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Pr="00FC3A9D" w:rsidRDefault="004614C6">
      <w:pPr>
        <w:pStyle w:val="Textoindependiente2"/>
      </w:pPr>
      <w:bookmarkStart w:id="5" w:name="_MON_1419939328"/>
      <w:bookmarkEnd w:id="5"/>
      <w:r w:rsidRPr="00FC3A9D">
        <w:rPr>
          <w:rFonts w:ascii="Arial" w:hAnsi="Arial" w:cs="Arial"/>
          <w:b/>
          <w:bCs/>
          <w:sz w:val="24"/>
          <w:szCs w:val="24"/>
          <w:lang w:eastAsia="es-ES"/>
        </w:rPr>
        <w:t>NOTA No. 5 Servicios</w:t>
      </w:r>
    </w:p>
    <w:p w:rsidR="009D0933" w:rsidRDefault="00FC3A9D">
      <w:pPr>
        <w:pStyle w:val="Textoindependiente2"/>
        <w:spacing w:line="240" w:lineRule="auto"/>
        <w:rPr>
          <w:rFonts w:ascii="Arial" w:hAnsi="Arial" w:cs="Arial"/>
          <w:bCs/>
          <w:color w:val="000000"/>
          <w:sz w:val="24"/>
          <w:szCs w:val="24"/>
          <w:lang w:val="es-CR" w:eastAsia="es-ES"/>
        </w:rPr>
      </w:pPr>
      <w:r w:rsidRPr="00FC3A9D">
        <w:rPr>
          <w:noProof/>
          <w:lang w:val="es-CR" w:eastAsia="es-CR"/>
        </w:rPr>
        <w:drawing>
          <wp:inline distT="0" distB="0" distL="0" distR="0">
            <wp:extent cx="6362700" cy="7905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FC3A9D" w:rsidRDefault="00FC3A9D">
      <w:pPr>
        <w:pStyle w:val="Textoindependiente2"/>
        <w:spacing w:line="240" w:lineRule="auto"/>
        <w:rPr>
          <w:rFonts w:ascii="Arial" w:hAnsi="Arial" w:cs="Arial"/>
          <w:bCs/>
          <w:color w:val="000000"/>
          <w:sz w:val="24"/>
          <w:szCs w:val="24"/>
          <w:lang w:val="es-CR" w:eastAsia="es-ES"/>
        </w:rPr>
      </w:pPr>
    </w:p>
    <w:p w:rsidR="009D0933" w:rsidRDefault="004614C6">
      <w:pPr>
        <w:pStyle w:val="Textoindependiente2"/>
        <w:spacing w:line="240" w:lineRule="auto"/>
        <w:rPr>
          <w:rFonts w:ascii="Arial" w:hAnsi="Arial" w:cs="Arial"/>
          <w:sz w:val="24"/>
          <w:szCs w:val="24"/>
          <w:lang w:val="es-CR"/>
        </w:rPr>
      </w:pPr>
      <w:r>
        <w:rPr>
          <w:rFonts w:ascii="Arial" w:hAnsi="Arial" w:cs="Arial"/>
          <w:sz w:val="24"/>
          <w:szCs w:val="24"/>
          <w:lang w:val="es-CR"/>
        </w:rPr>
        <w:t>Obligaciones que la institución contrae, generalmente mediante contratos administrativos con personas físicas o jurídicas, públicas o privadas, por la prestación de servicios de diversa naturaleza y por el uso de bienes muebles e inmuebles.</w:t>
      </w:r>
    </w:p>
    <w:p w:rsidR="009D0933" w:rsidRDefault="009D0933">
      <w:pPr>
        <w:pStyle w:val="Textoindependiente2"/>
        <w:spacing w:line="240" w:lineRule="auto"/>
        <w:rPr>
          <w:rFonts w:ascii="Arial" w:hAnsi="Arial" w:cs="Arial"/>
          <w:sz w:val="24"/>
          <w:szCs w:val="24"/>
          <w:lang w:val="es-CR"/>
        </w:rPr>
      </w:pPr>
    </w:p>
    <w:p w:rsidR="009D0933" w:rsidRPr="00FC3A9D" w:rsidRDefault="004614C6">
      <w:pPr>
        <w:rPr>
          <w:rFonts w:ascii="Arial" w:hAnsi="Arial" w:cs="Arial"/>
          <w:b/>
          <w:bCs/>
          <w:sz w:val="24"/>
          <w:szCs w:val="24"/>
          <w:lang w:eastAsia="es-ES"/>
        </w:rPr>
      </w:pPr>
      <w:bookmarkStart w:id="6" w:name="s2"/>
      <w:bookmarkEnd w:id="6"/>
      <w:r w:rsidRPr="00FC3A9D">
        <w:rPr>
          <w:rFonts w:ascii="Arial" w:hAnsi="Arial" w:cs="Arial"/>
          <w:b/>
          <w:bCs/>
          <w:sz w:val="24"/>
          <w:szCs w:val="24"/>
          <w:lang w:eastAsia="es-ES"/>
        </w:rPr>
        <w:t>NOTA No. 6 Materiales y suministros</w:t>
      </w:r>
    </w:p>
    <w:p w:rsidR="009D0933" w:rsidRDefault="004614C6">
      <w:pPr>
        <w:spacing w:line="240" w:lineRule="auto"/>
        <w:rPr>
          <w:rFonts w:ascii="Arial" w:hAnsi="Arial" w:cs="Arial"/>
          <w:sz w:val="24"/>
          <w:szCs w:val="24"/>
        </w:rPr>
      </w:pPr>
      <w:bookmarkStart w:id="7" w:name="_MON_1419939800"/>
      <w:bookmarkEnd w:id="7"/>
      <w:r>
        <w:rPr>
          <w:rFonts w:ascii="Arial" w:hAnsi="Arial" w:cs="Arial"/>
          <w:sz w:val="24"/>
          <w:szCs w:val="24"/>
        </w:rPr>
        <w:t>En esta partida se incluyen los útiles, materiales, artículos y suministros que tienen como característica principal su corta durabilidad, pues se estima que se consumirán en el lapso de un año. Sin embargo, por política  se incluyen algunos de mayor durabilidad, en razón de su bajo costo y de las dificultades que implicaría un control de inventario.</w:t>
      </w:r>
    </w:p>
    <w:p w:rsidR="009D0933" w:rsidRDefault="00FC3A9D">
      <w:pPr>
        <w:rPr>
          <w:rFonts w:ascii="Arial" w:hAnsi="Arial" w:cs="Arial"/>
          <w:b/>
          <w:bCs/>
          <w:color w:val="948A54"/>
          <w:sz w:val="24"/>
          <w:szCs w:val="24"/>
          <w:lang w:eastAsia="es-ES"/>
        </w:rPr>
      </w:pPr>
      <w:r w:rsidRPr="00FC3A9D">
        <w:rPr>
          <w:noProof/>
          <w:lang w:val="es-CR" w:eastAsia="es-CR"/>
        </w:rPr>
        <w:drawing>
          <wp:inline distT="0" distB="0" distL="0" distR="0">
            <wp:extent cx="6362700" cy="7905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FC3A9D" w:rsidRDefault="00FC3A9D">
      <w:pPr>
        <w:rPr>
          <w:rFonts w:ascii="Arial" w:hAnsi="Arial" w:cs="Arial"/>
          <w:b/>
          <w:bCs/>
          <w:color w:val="948A54"/>
          <w:sz w:val="24"/>
          <w:szCs w:val="24"/>
          <w:lang w:eastAsia="es-ES"/>
        </w:rPr>
      </w:pPr>
    </w:p>
    <w:p w:rsidR="00FC3A9D" w:rsidRDefault="00FC3A9D">
      <w:pPr>
        <w:rPr>
          <w:rFonts w:ascii="Arial" w:hAnsi="Arial" w:cs="Arial"/>
          <w:b/>
          <w:bCs/>
          <w:color w:val="948A54"/>
          <w:sz w:val="24"/>
          <w:szCs w:val="24"/>
          <w:lang w:eastAsia="es-ES"/>
        </w:rPr>
      </w:pPr>
    </w:p>
    <w:p w:rsidR="009D0933" w:rsidRPr="00FC3A9D" w:rsidRDefault="004614C6">
      <w:pPr>
        <w:rPr>
          <w:rFonts w:ascii="Arial" w:hAnsi="Arial" w:cs="Arial"/>
          <w:b/>
          <w:bCs/>
          <w:sz w:val="24"/>
          <w:szCs w:val="24"/>
          <w:lang w:eastAsia="es-ES"/>
        </w:rPr>
      </w:pPr>
      <w:r w:rsidRPr="00FC3A9D">
        <w:rPr>
          <w:rFonts w:ascii="Arial" w:hAnsi="Arial" w:cs="Arial"/>
          <w:b/>
          <w:bCs/>
          <w:sz w:val="24"/>
          <w:szCs w:val="24"/>
          <w:lang w:eastAsia="es-ES"/>
        </w:rPr>
        <w:lastRenderedPageBreak/>
        <w:t>NOTA No. 7 Intereses y comisiones</w:t>
      </w:r>
    </w:p>
    <w:p w:rsidR="009D0933" w:rsidRDefault="004614C6">
      <w:pPr>
        <w:spacing w:line="240" w:lineRule="auto"/>
        <w:rPr>
          <w:rFonts w:ascii="Arial" w:hAnsi="Arial" w:cs="Arial"/>
          <w:bCs/>
          <w:color w:val="000000"/>
          <w:sz w:val="24"/>
          <w:szCs w:val="24"/>
          <w:lang w:eastAsia="es-ES"/>
        </w:rPr>
      </w:pPr>
      <w:r>
        <w:rPr>
          <w:rFonts w:ascii="Arial" w:hAnsi="Arial" w:cs="Arial"/>
          <w:bCs/>
          <w:color w:val="000000"/>
          <w:sz w:val="24"/>
          <w:szCs w:val="24"/>
          <w:lang w:eastAsia="es-ES"/>
        </w:rPr>
        <w:t>El monto de los intereses cancelados  correspondiente al préstamo otorgado por el Banco Nacional y el Banco Popular, para la construcción del nuevo edificio de la Sede Chorotega ubicado en Liberia Guanacaste.</w:t>
      </w:r>
    </w:p>
    <w:p w:rsidR="009D0933" w:rsidRDefault="00FC3A9D" w:rsidP="00FC3A9D">
      <w:pPr>
        <w:spacing w:line="240" w:lineRule="auto"/>
        <w:rPr>
          <w:rFonts w:ascii="Arial" w:hAnsi="Arial" w:cs="Arial"/>
          <w:sz w:val="24"/>
          <w:szCs w:val="24"/>
        </w:rPr>
      </w:pPr>
      <w:r w:rsidRPr="00FC3A9D">
        <w:rPr>
          <w:noProof/>
          <w:lang w:val="es-CR" w:eastAsia="es-CR"/>
        </w:rPr>
        <w:drawing>
          <wp:inline distT="0" distB="0" distL="0" distR="0">
            <wp:extent cx="6362700" cy="7905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FC3A9D" w:rsidRDefault="00FC3A9D" w:rsidP="00FC3A9D">
      <w:pPr>
        <w:spacing w:line="240" w:lineRule="auto"/>
        <w:rPr>
          <w:rFonts w:ascii="Arial" w:hAnsi="Arial" w:cs="Arial"/>
          <w:sz w:val="24"/>
          <w:szCs w:val="24"/>
        </w:rPr>
      </w:pPr>
    </w:p>
    <w:p w:rsidR="009D0933" w:rsidRPr="00FC3A9D" w:rsidRDefault="004614C6">
      <w:bookmarkStart w:id="8" w:name="_MON_1419940575"/>
      <w:bookmarkEnd w:id="8"/>
      <w:r w:rsidRPr="00FC3A9D">
        <w:rPr>
          <w:rFonts w:ascii="Arial" w:hAnsi="Arial" w:cs="Arial"/>
          <w:b/>
          <w:bCs/>
          <w:sz w:val="24"/>
          <w:szCs w:val="24"/>
          <w:lang w:eastAsia="es-ES"/>
        </w:rPr>
        <w:t>NOTA No. 8Transferencias corrientes y de capital</w:t>
      </w:r>
    </w:p>
    <w:p w:rsidR="009D0933" w:rsidRDefault="00FC3A9D">
      <w:pPr>
        <w:rPr>
          <w:rFonts w:ascii="Arial" w:hAnsi="Arial" w:cs="Arial"/>
          <w:sz w:val="24"/>
          <w:szCs w:val="24"/>
        </w:rPr>
      </w:pPr>
      <w:r w:rsidRPr="00FC3A9D">
        <w:rPr>
          <w:noProof/>
          <w:lang w:val="es-CR" w:eastAsia="es-CR"/>
        </w:rPr>
        <w:drawing>
          <wp:inline distT="0" distB="0" distL="0" distR="0">
            <wp:extent cx="6362700" cy="7905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Default="004614C6">
      <w:pPr>
        <w:rPr>
          <w:rFonts w:ascii="Arial" w:hAnsi="Arial" w:cs="Arial"/>
          <w:sz w:val="24"/>
          <w:szCs w:val="24"/>
        </w:rPr>
      </w:pPr>
      <w:r>
        <w:rPr>
          <w:rFonts w:ascii="Arial" w:hAnsi="Arial" w:cs="Arial"/>
          <w:sz w:val="24"/>
          <w:szCs w:val="24"/>
        </w:rPr>
        <w:t>Algunos de los principales rubros que forman esta partida son las siguientes y se muestran en miles de colones:</w:t>
      </w:r>
    </w:p>
    <w:p w:rsidR="00FC3A9D" w:rsidRPr="00FC2BC8" w:rsidRDefault="00FC2BC8">
      <w:pPr>
        <w:rPr>
          <w:rFonts w:ascii="Arial" w:hAnsi="Arial" w:cs="Arial"/>
          <w:sz w:val="24"/>
          <w:szCs w:val="24"/>
        </w:rPr>
      </w:pPr>
      <w:r w:rsidRPr="00FC2BC8">
        <w:drawing>
          <wp:inline distT="0" distB="0" distL="0" distR="0">
            <wp:extent cx="4619625" cy="1409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1409700"/>
                    </a:xfrm>
                    <a:prstGeom prst="rect">
                      <a:avLst/>
                    </a:prstGeom>
                    <a:noFill/>
                    <a:ln>
                      <a:noFill/>
                    </a:ln>
                  </pic:spPr>
                </pic:pic>
              </a:graphicData>
            </a:graphic>
          </wp:inline>
        </w:drawing>
      </w:r>
    </w:p>
    <w:p w:rsidR="00FC3A9D" w:rsidRDefault="00FC3A9D">
      <w:pPr>
        <w:rPr>
          <w:rFonts w:ascii="Arial" w:hAnsi="Arial" w:cs="Arial"/>
          <w:b/>
          <w:bCs/>
          <w:color w:val="0070C0"/>
          <w:sz w:val="24"/>
          <w:szCs w:val="24"/>
          <w:lang w:eastAsia="es-ES"/>
        </w:rPr>
      </w:pPr>
    </w:p>
    <w:p w:rsidR="009D0933" w:rsidRPr="00FC3A9D" w:rsidRDefault="004614C6">
      <w:r w:rsidRPr="00FC3A9D">
        <w:rPr>
          <w:rFonts w:ascii="Arial" w:hAnsi="Arial" w:cs="Arial"/>
          <w:b/>
          <w:bCs/>
          <w:sz w:val="24"/>
          <w:szCs w:val="24"/>
          <w:lang w:eastAsia="es-ES"/>
        </w:rPr>
        <w:t xml:space="preserve">NOTA No. 9 Diferencias positivas en el tipo de cambio </w:t>
      </w:r>
    </w:p>
    <w:p w:rsidR="009D0933" w:rsidRDefault="004614C6">
      <w:pPr>
        <w:spacing w:line="240" w:lineRule="auto"/>
        <w:rPr>
          <w:rFonts w:ascii="Arial" w:hAnsi="Arial" w:cs="Arial"/>
          <w:sz w:val="24"/>
          <w:szCs w:val="24"/>
        </w:rPr>
      </w:pPr>
      <w:bookmarkStart w:id="9" w:name="_MON_1419941795"/>
      <w:bookmarkEnd w:id="9"/>
      <w:r>
        <w:rPr>
          <w:rFonts w:ascii="Arial" w:hAnsi="Arial" w:cs="Arial"/>
          <w:sz w:val="24"/>
          <w:szCs w:val="24"/>
        </w:rPr>
        <w:t xml:space="preserve">La Universidad posee inversiones en títulos valores y cuentas corrientes en dólares y euros, los que generaron una ganancia por diferencial cambiario, al momento de revalorarlas, así como las diferencias que se han dado al disminuir el valor del dólar con respecto a los colones  en el momento de pactar y realizar los pagos en moneda extranjera. </w:t>
      </w:r>
    </w:p>
    <w:p w:rsidR="009D0933" w:rsidRDefault="00FC3A9D">
      <w:r w:rsidRPr="00FC3A9D">
        <w:rPr>
          <w:noProof/>
          <w:lang w:val="es-CR" w:eastAsia="es-CR"/>
        </w:rPr>
        <w:drawing>
          <wp:inline distT="0" distB="0" distL="0" distR="0">
            <wp:extent cx="6362700" cy="7905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FC3A9D" w:rsidRDefault="00FC3A9D"/>
    <w:p w:rsidR="009D0933" w:rsidRDefault="009D0933">
      <w:pPr>
        <w:rPr>
          <w:rFonts w:ascii="Arial" w:hAnsi="Arial" w:cs="Arial"/>
          <w:b/>
          <w:bCs/>
          <w:color w:val="4F81BD"/>
          <w:sz w:val="24"/>
          <w:szCs w:val="24"/>
          <w:lang w:eastAsia="es-ES"/>
        </w:rPr>
      </w:pPr>
    </w:p>
    <w:p w:rsidR="00FC3A9D" w:rsidRDefault="00FC3A9D">
      <w:pPr>
        <w:rPr>
          <w:rFonts w:ascii="Arial" w:hAnsi="Arial" w:cs="Arial"/>
          <w:b/>
          <w:bCs/>
          <w:sz w:val="24"/>
          <w:szCs w:val="24"/>
          <w:lang w:eastAsia="es-ES"/>
        </w:rPr>
      </w:pPr>
    </w:p>
    <w:p w:rsidR="009D0933" w:rsidRPr="00FC3A9D" w:rsidRDefault="004614C6">
      <w:r w:rsidRPr="00FC3A9D">
        <w:rPr>
          <w:rFonts w:ascii="Arial" w:hAnsi="Arial" w:cs="Arial"/>
          <w:b/>
          <w:bCs/>
          <w:sz w:val="24"/>
          <w:szCs w:val="24"/>
          <w:lang w:eastAsia="es-ES"/>
        </w:rPr>
        <w:t>Otros Gastos</w:t>
      </w:r>
    </w:p>
    <w:p w:rsidR="009D0933" w:rsidRPr="00FC3A9D" w:rsidRDefault="004614C6">
      <w:pPr>
        <w:rPr>
          <w:rFonts w:ascii="Arial" w:hAnsi="Arial" w:cs="Arial"/>
          <w:b/>
          <w:bCs/>
          <w:sz w:val="24"/>
          <w:szCs w:val="24"/>
          <w:lang w:eastAsia="es-ES"/>
        </w:rPr>
      </w:pPr>
      <w:r w:rsidRPr="00FC3A9D">
        <w:rPr>
          <w:rFonts w:ascii="Arial" w:hAnsi="Arial" w:cs="Arial"/>
          <w:b/>
          <w:bCs/>
          <w:sz w:val="24"/>
          <w:szCs w:val="24"/>
          <w:lang w:eastAsia="es-ES"/>
        </w:rPr>
        <w:t xml:space="preserve">NOTA No. 10 Perdida en venta cambio o retiro de Activos Fijos </w:t>
      </w:r>
    </w:p>
    <w:p w:rsidR="009D0933" w:rsidRDefault="004614C6">
      <w:pPr>
        <w:spacing w:line="240" w:lineRule="auto"/>
        <w:rPr>
          <w:rFonts w:ascii="Arial" w:hAnsi="Arial" w:cs="Arial"/>
          <w:b/>
          <w:bCs/>
          <w:color w:val="000000"/>
          <w:sz w:val="24"/>
          <w:szCs w:val="24"/>
          <w:lang w:eastAsia="es-ES"/>
        </w:rPr>
      </w:pPr>
      <w:r>
        <w:rPr>
          <w:rFonts w:ascii="Arial" w:hAnsi="Arial" w:cs="Arial"/>
          <w:sz w:val="24"/>
          <w:szCs w:val="24"/>
        </w:rPr>
        <w:t>Resultado de la variación negativa del valor en libros de un activo por concepto del precio convenido de venta, cambio o retiro del mismo.</w:t>
      </w:r>
      <w:r>
        <w:rPr>
          <w:rFonts w:ascii="Arial" w:hAnsi="Arial" w:cs="Arial"/>
          <w:b/>
          <w:bCs/>
          <w:color w:val="000000"/>
          <w:sz w:val="24"/>
          <w:szCs w:val="24"/>
          <w:lang w:eastAsia="es-ES"/>
        </w:rPr>
        <w:t xml:space="preserve"> </w:t>
      </w:r>
    </w:p>
    <w:p w:rsidR="009D0933" w:rsidRDefault="004614C6">
      <w:pPr>
        <w:spacing w:after="0" w:line="240" w:lineRule="auto"/>
        <w:rPr>
          <w:rFonts w:ascii="Arial" w:hAnsi="Arial" w:cs="Arial"/>
          <w:b/>
          <w:bCs/>
          <w:color w:val="000000"/>
          <w:sz w:val="24"/>
          <w:szCs w:val="24"/>
          <w:lang w:eastAsia="es-ES"/>
        </w:rPr>
      </w:pPr>
      <w:r>
        <w:rPr>
          <w:rFonts w:ascii="Arial" w:hAnsi="Arial" w:cs="Arial"/>
          <w:b/>
          <w:bCs/>
          <w:color w:val="000000"/>
          <w:sz w:val="24"/>
          <w:szCs w:val="24"/>
          <w:lang w:eastAsia="es-ES"/>
        </w:rPr>
        <w:t xml:space="preserve"> </w:t>
      </w:r>
      <w:r w:rsidR="00FC3A9D" w:rsidRPr="00FC3A9D">
        <w:rPr>
          <w:noProof/>
          <w:lang w:val="es-CR" w:eastAsia="es-CR"/>
        </w:rPr>
        <w:drawing>
          <wp:inline distT="0" distB="0" distL="0" distR="0">
            <wp:extent cx="6362700" cy="7905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r>
        <w:rPr>
          <w:rFonts w:ascii="Arial" w:hAnsi="Arial" w:cs="Arial"/>
          <w:b/>
          <w:bCs/>
          <w:color w:val="000000"/>
          <w:sz w:val="24"/>
          <w:szCs w:val="24"/>
          <w:lang w:eastAsia="es-ES"/>
        </w:rPr>
        <w:t xml:space="preserve">  </w:t>
      </w:r>
      <w:bookmarkStart w:id="10" w:name="_MON_1419942017"/>
      <w:bookmarkEnd w:id="10"/>
      <w:r>
        <w:rPr>
          <w:rFonts w:ascii="Arial" w:hAnsi="Arial" w:cs="Arial"/>
          <w:b/>
          <w:bCs/>
          <w:color w:val="000000"/>
          <w:sz w:val="24"/>
          <w:szCs w:val="24"/>
          <w:lang w:eastAsia="es-ES"/>
        </w:rPr>
        <w:t xml:space="preserve">                  </w:t>
      </w:r>
    </w:p>
    <w:p w:rsidR="009D0933" w:rsidRDefault="009D0933">
      <w:pPr>
        <w:spacing w:after="0" w:line="240" w:lineRule="auto"/>
        <w:rPr>
          <w:rFonts w:ascii="Arial" w:hAnsi="Arial" w:cs="Arial"/>
          <w:b/>
          <w:bCs/>
          <w:color w:val="000000"/>
          <w:sz w:val="24"/>
          <w:szCs w:val="24"/>
          <w:lang w:eastAsia="es-ES"/>
        </w:rPr>
      </w:pPr>
    </w:p>
    <w:p w:rsidR="009D0933" w:rsidRDefault="009D0933">
      <w:pPr>
        <w:spacing w:after="0" w:line="240" w:lineRule="auto"/>
        <w:rPr>
          <w:rFonts w:ascii="Arial" w:hAnsi="Arial" w:cs="Arial"/>
          <w:b/>
          <w:bCs/>
          <w:color w:val="000000"/>
          <w:sz w:val="24"/>
          <w:szCs w:val="24"/>
          <w:lang w:eastAsia="es-ES"/>
        </w:rPr>
      </w:pPr>
    </w:p>
    <w:p w:rsidR="009D0933" w:rsidRPr="00FC3A9D" w:rsidRDefault="004614C6">
      <w:pPr>
        <w:rPr>
          <w:rFonts w:ascii="Arial" w:hAnsi="Arial" w:cs="Arial"/>
          <w:b/>
          <w:sz w:val="24"/>
          <w:szCs w:val="24"/>
        </w:rPr>
      </w:pPr>
      <w:r w:rsidRPr="00FC3A9D">
        <w:rPr>
          <w:rFonts w:ascii="Arial" w:hAnsi="Arial" w:cs="Arial"/>
          <w:b/>
          <w:bCs/>
          <w:sz w:val="24"/>
          <w:szCs w:val="24"/>
          <w:lang w:eastAsia="es-ES"/>
        </w:rPr>
        <w:t xml:space="preserve">NOTA No. 11 Diferencias negativas en el tipo de cambio </w:t>
      </w:r>
    </w:p>
    <w:p w:rsidR="009D0933" w:rsidRDefault="004614C6">
      <w:pPr>
        <w:spacing w:line="240" w:lineRule="auto"/>
        <w:rPr>
          <w:rFonts w:ascii="Arial" w:hAnsi="Arial" w:cs="Arial"/>
          <w:b/>
          <w:bCs/>
          <w:color w:val="948A54"/>
          <w:sz w:val="24"/>
          <w:szCs w:val="24"/>
          <w:lang w:eastAsia="es-ES"/>
        </w:rPr>
      </w:pPr>
      <w:r>
        <w:rPr>
          <w:rFonts w:ascii="Arial" w:hAnsi="Arial" w:cs="Arial"/>
          <w:sz w:val="24"/>
          <w:szCs w:val="24"/>
        </w:rPr>
        <w:t>La Universidad posee inversiones en títulos valores y cuentas corrientes en dólares y euros, los que generaron una perdida por diferencial cambiario al momento de revalorarlas</w:t>
      </w:r>
      <w:bookmarkStart w:id="11" w:name="_MON_1419942098"/>
      <w:bookmarkEnd w:id="11"/>
      <w:r>
        <w:rPr>
          <w:rFonts w:ascii="Arial" w:hAnsi="Arial" w:cs="Arial"/>
          <w:b/>
          <w:bCs/>
          <w:color w:val="948A54"/>
          <w:sz w:val="24"/>
          <w:szCs w:val="24"/>
          <w:lang w:eastAsia="es-ES"/>
        </w:rPr>
        <w:t>.</w:t>
      </w:r>
    </w:p>
    <w:p w:rsidR="009D0933" w:rsidRDefault="00FC3A9D">
      <w:pPr>
        <w:rPr>
          <w:rFonts w:ascii="Arial" w:hAnsi="Arial" w:cs="Arial"/>
          <w:b/>
          <w:bCs/>
          <w:color w:val="0070C0"/>
          <w:sz w:val="24"/>
          <w:szCs w:val="24"/>
          <w:lang w:eastAsia="es-ES"/>
        </w:rPr>
      </w:pPr>
      <w:r w:rsidRPr="00FC3A9D">
        <w:rPr>
          <w:noProof/>
          <w:lang w:val="es-CR" w:eastAsia="es-CR"/>
        </w:rPr>
        <w:drawing>
          <wp:inline distT="0" distB="0" distL="0" distR="0">
            <wp:extent cx="6362700" cy="7905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Pr="00FC3A9D" w:rsidRDefault="004614C6">
      <w:pPr>
        <w:rPr>
          <w:rFonts w:ascii="Arial" w:hAnsi="Arial" w:cs="Arial"/>
          <w:b/>
          <w:bCs/>
          <w:sz w:val="24"/>
          <w:szCs w:val="24"/>
          <w:lang w:eastAsia="es-ES"/>
        </w:rPr>
      </w:pPr>
      <w:r w:rsidRPr="00FC3A9D">
        <w:rPr>
          <w:rFonts w:ascii="Arial" w:hAnsi="Arial" w:cs="Arial"/>
          <w:b/>
          <w:bCs/>
          <w:sz w:val="24"/>
          <w:szCs w:val="24"/>
          <w:lang w:eastAsia="es-ES"/>
        </w:rPr>
        <w:t>NOTA No. 12 Gasto por depreciación y agotamiento</w:t>
      </w:r>
    </w:p>
    <w:p w:rsidR="009D0933" w:rsidRDefault="004614C6">
      <w:pPr>
        <w:spacing w:line="240" w:lineRule="auto"/>
        <w:rPr>
          <w:rFonts w:ascii="Arial" w:hAnsi="Arial" w:cs="Arial"/>
          <w:sz w:val="24"/>
          <w:szCs w:val="24"/>
        </w:rPr>
      </w:pPr>
      <w:bookmarkStart w:id="12" w:name="_MON_1419942485"/>
      <w:bookmarkEnd w:id="12"/>
      <w:r>
        <w:rPr>
          <w:rFonts w:ascii="Arial" w:hAnsi="Arial" w:cs="Arial"/>
          <w:sz w:val="24"/>
          <w:szCs w:val="24"/>
        </w:rPr>
        <w:t xml:space="preserve">El método utilizado para registrar los gastos de depreciación es de línea recta, y la vida estimada, es la que establece la directriz CN001-2009 “Valoración, revaluación, depreciación de Propiedad, planta y equipo” del 23 de noviembre 2009. </w:t>
      </w:r>
    </w:p>
    <w:p w:rsidR="009D0933" w:rsidRDefault="00FC3A9D">
      <w:pPr>
        <w:rPr>
          <w:rFonts w:ascii="Arial" w:hAnsi="Arial" w:cs="Arial"/>
          <w:sz w:val="24"/>
          <w:szCs w:val="24"/>
        </w:rPr>
      </w:pPr>
      <w:r w:rsidRPr="00FC3A9D">
        <w:rPr>
          <w:noProof/>
          <w:lang w:val="es-CR" w:eastAsia="es-CR"/>
        </w:rPr>
        <w:drawing>
          <wp:inline distT="0" distB="0" distL="0" distR="0">
            <wp:extent cx="6362700" cy="7905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Pr="00FC3A9D" w:rsidRDefault="004614C6">
      <w:pPr>
        <w:rPr>
          <w:rFonts w:ascii="Arial" w:hAnsi="Arial" w:cs="Arial"/>
          <w:b/>
          <w:bCs/>
          <w:sz w:val="24"/>
          <w:szCs w:val="24"/>
          <w:lang w:eastAsia="es-ES"/>
        </w:rPr>
      </w:pPr>
      <w:bookmarkStart w:id="13" w:name="_MON_1435409758"/>
      <w:bookmarkEnd w:id="13"/>
      <w:r w:rsidRPr="00FC3A9D">
        <w:rPr>
          <w:rFonts w:ascii="Arial" w:hAnsi="Arial" w:cs="Arial"/>
          <w:b/>
          <w:bCs/>
          <w:sz w:val="24"/>
          <w:szCs w:val="24"/>
          <w:lang w:eastAsia="es-ES"/>
        </w:rPr>
        <w:t>NOTA No. 13 Otros Gastos</w:t>
      </w:r>
    </w:p>
    <w:p w:rsidR="009D0933" w:rsidRDefault="00FC3A9D">
      <w:pPr>
        <w:spacing w:line="240" w:lineRule="auto"/>
        <w:rPr>
          <w:rFonts w:ascii="Arial" w:hAnsi="Arial" w:cs="Arial"/>
          <w:b/>
          <w:bCs/>
          <w:color w:val="948A54"/>
          <w:sz w:val="24"/>
          <w:szCs w:val="24"/>
          <w:lang w:eastAsia="es-ES"/>
        </w:rPr>
      </w:pPr>
      <w:r w:rsidRPr="00FC3A9D">
        <w:rPr>
          <w:noProof/>
          <w:lang w:val="es-CR" w:eastAsia="es-CR"/>
        </w:rPr>
        <w:drawing>
          <wp:inline distT="0" distB="0" distL="0" distR="0">
            <wp:extent cx="6362700" cy="7905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a:ln>
                      <a:noFill/>
                    </a:ln>
                  </pic:spPr>
                </pic:pic>
              </a:graphicData>
            </a:graphic>
          </wp:inline>
        </w:drawing>
      </w:r>
    </w:p>
    <w:p w:rsidR="009D0933" w:rsidRDefault="009D0933">
      <w:pPr>
        <w:spacing w:line="240" w:lineRule="auto"/>
        <w:rPr>
          <w:rFonts w:ascii="Arial" w:hAnsi="Arial" w:cs="Arial"/>
          <w:b/>
          <w:bCs/>
          <w:color w:val="948A54"/>
          <w:sz w:val="24"/>
          <w:szCs w:val="24"/>
          <w:lang w:eastAsia="es-ES"/>
        </w:rPr>
      </w:pPr>
    </w:p>
    <w:p w:rsidR="009D0933" w:rsidRDefault="004614C6">
      <w:pPr>
        <w:spacing w:line="240" w:lineRule="auto"/>
        <w:rPr>
          <w:rFonts w:ascii="Arial" w:hAnsi="Arial" w:cs="Arial"/>
          <w:sz w:val="24"/>
          <w:szCs w:val="24"/>
        </w:rPr>
      </w:pPr>
      <w:r>
        <w:rPr>
          <w:rFonts w:ascii="Arial" w:hAnsi="Arial" w:cs="Arial"/>
          <w:sz w:val="24"/>
          <w:szCs w:val="24"/>
        </w:rPr>
        <w:t xml:space="preserve">Al estar  integrados en forma sistemática la contabilidad financiera y presupuestaria, los Estados Financieros   reflejan los registros a nivel presupuestario  que se han realizado por bienes duraderos, préstamos a estudiantes, amortización a préstamos, son presupuestarias y también son partidas de Balance cómo cuentas por cobrar y cuentas por pagar, por lo tanto,   se ha </w:t>
      </w:r>
      <w:r>
        <w:rPr>
          <w:rFonts w:ascii="Arial" w:hAnsi="Arial" w:cs="Arial"/>
          <w:sz w:val="24"/>
          <w:szCs w:val="24"/>
        </w:rPr>
        <w:lastRenderedPageBreak/>
        <w:t>utilizado esta cuenta para reflejar dichos rubros en el formato de Balance solicitado por la Contabilidad Nacional.</w:t>
      </w:r>
    </w:p>
    <w:p w:rsidR="009D0933" w:rsidRDefault="004614C6">
      <w:pPr>
        <w:spacing w:line="240" w:lineRule="auto"/>
        <w:rPr>
          <w:rFonts w:ascii="Arial" w:hAnsi="Arial" w:cs="Arial"/>
          <w:sz w:val="24"/>
          <w:szCs w:val="24"/>
        </w:rPr>
      </w:pPr>
      <w:r>
        <w:rPr>
          <w:rFonts w:ascii="Arial" w:hAnsi="Arial" w:cs="Arial"/>
          <w:sz w:val="24"/>
          <w:szCs w:val="24"/>
        </w:rPr>
        <w:t xml:space="preserve">El principal incremento en esta partida, corresponde al rubro de obras en proceso, por los edificios que se están construyendo con financiamiento del Fondo de Educación Superior, </w:t>
      </w:r>
      <w:bookmarkStart w:id="14" w:name="_GoBack"/>
      <w:bookmarkEnd w:id="14"/>
      <w:r>
        <w:rPr>
          <w:rFonts w:ascii="Arial" w:hAnsi="Arial" w:cs="Arial"/>
          <w:sz w:val="24"/>
          <w:szCs w:val="24"/>
        </w:rPr>
        <w:t>financiado por el Banco Mundial.</w:t>
      </w:r>
    </w:p>
    <w:tbl>
      <w:tblPr>
        <w:tblW w:w="1575" w:type="dxa"/>
        <w:tblInd w:w="55" w:type="dxa"/>
        <w:tblCellMar>
          <w:left w:w="70" w:type="dxa"/>
          <w:right w:w="70" w:type="dxa"/>
        </w:tblCellMar>
        <w:tblLook w:val="04A0" w:firstRow="1" w:lastRow="0" w:firstColumn="1" w:lastColumn="0" w:noHBand="0" w:noVBand="1"/>
      </w:tblPr>
      <w:tblGrid>
        <w:gridCol w:w="1575"/>
      </w:tblGrid>
      <w:tr w:rsidR="009D0933">
        <w:trPr>
          <w:trHeight w:hRule="exact" w:val="23"/>
        </w:trPr>
        <w:tc>
          <w:tcPr>
            <w:tcW w:w="1575" w:type="dxa"/>
            <w:shd w:val="clear" w:color="auto" w:fill="auto"/>
            <w:vAlign w:val="bottom"/>
          </w:tcPr>
          <w:p w:rsidR="009D0933" w:rsidRDefault="009D0933">
            <w:pPr>
              <w:spacing w:after="0" w:line="240" w:lineRule="auto"/>
              <w:jc w:val="left"/>
              <w:rPr>
                <w:color w:val="000000"/>
                <w:lang w:val="es-CR" w:eastAsia="es-CR"/>
              </w:rPr>
            </w:pPr>
          </w:p>
        </w:tc>
      </w:tr>
      <w:tr w:rsidR="009D0933">
        <w:trPr>
          <w:trHeight w:hRule="exact" w:val="23"/>
        </w:trPr>
        <w:tc>
          <w:tcPr>
            <w:tcW w:w="1575" w:type="dxa"/>
            <w:shd w:val="clear" w:color="auto" w:fill="auto"/>
            <w:vAlign w:val="bottom"/>
          </w:tcPr>
          <w:p w:rsidR="009D0933" w:rsidRDefault="009D0933">
            <w:pPr>
              <w:spacing w:after="0" w:line="240" w:lineRule="auto"/>
              <w:jc w:val="right"/>
              <w:rPr>
                <w:color w:val="000000"/>
                <w:lang w:val="es-CR" w:eastAsia="es-CR"/>
              </w:rPr>
            </w:pPr>
          </w:p>
        </w:tc>
      </w:tr>
      <w:tr w:rsidR="009D0933">
        <w:trPr>
          <w:trHeight w:hRule="exact" w:val="23"/>
        </w:trPr>
        <w:tc>
          <w:tcPr>
            <w:tcW w:w="1575" w:type="dxa"/>
            <w:shd w:val="clear" w:color="auto" w:fill="auto"/>
            <w:vAlign w:val="bottom"/>
          </w:tcPr>
          <w:p w:rsidR="009D0933" w:rsidRDefault="009D0933">
            <w:pPr>
              <w:spacing w:after="0" w:line="240" w:lineRule="auto"/>
              <w:jc w:val="right"/>
              <w:rPr>
                <w:color w:val="000000"/>
                <w:lang w:val="es-CR" w:eastAsia="es-CR"/>
              </w:rPr>
            </w:pPr>
          </w:p>
        </w:tc>
      </w:tr>
    </w:tbl>
    <w:p w:rsidR="009D0933" w:rsidRDefault="004614C6">
      <w:pPr>
        <w:shd w:val="clear" w:color="auto" w:fill="FFFFFF"/>
        <w:spacing w:before="300" w:after="300" w:line="240" w:lineRule="auto"/>
        <w:jc w:val="center"/>
        <w:outlineLvl w:val="2"/>
      </w:pPr>
      <w:r>
        <w:t xml:space="preserve"> </w:t>
      </w:r>
    </w:p>
    <w:sectPr w:rsidR="009D0933">
      <w:headerReference w:type="default" r:id="rId23"/>
      <w:footerReference w:type="default" r:id="rId24"/>
      <w:pgSz w:w="11906" w:h="16838"/>
      <w:pgMar w:top="766" w:right="720" w:bottom="766" w:left="1021"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2" w:rsidRDefault="000435E2">
      <w:pPr>
        <w:spacing w:after="0" w:line="240" w:lineRule="auto"/>
      </w:pPr>
      <w:r>
        <w:separator/>
      </w:r>
    </w:p>
  </w:endnote>
  <w:endnote w:type="continuationSeparator" w:id="0">
    <w:p w:rsidR="000435E2" w:rsidRDefault="0004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33" w:rsidRDefault="009D09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2" w:rsidRDefault="000435E2">
      <w:pPr>
        <w:spacing w:after="0" w:line="240" w:lineRule="auto"/>
      </w:pPr>
      <w:r>
        <w:separator/>
      </w:r>
    </w:p>
  </w:footnote>
  <w:footnote w:type="continuationSeparator" w:id="0">
    <w:p w:rsidR="000435E2" w:rsidRDefault="0004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33" w:rsidRDefault="004614C6">
    <w:pPr>
      <w:pStyle w:val="Encabezamiento"/>
      <w:pBdr>
        <w:bottom w:val="thickThinSmallGap" w:sz="24" w:space="1" w:color="622423"/>
      </w:pBdr>
      <w:jc w:val="center"/>
      <w:rPr>
        <w:rFonts w:ascii="Cambria" w:hAnsi="Cambria"/>
        <w:b/>
        <w:color w:val="365F91"/>
        <w:sz w:val="32"/>
        <w:szCs w:val="32"/>
      </w:rPr>
    </w:pPr>
    <w:r>
      <w:rPr>
        <w:rFonts w:ascii="Cambria" w:hAnsi="Cambria"/>
        <w:b/>
        <w:color w:val="365F91"/>
        <w:sz w:val="32"/>
        <w:szCs w:val="32"/>
        <w:lang w:val="es-CR"/>
      </w:rPr>
      <w:t>Políticas Contables y Notas Explicativas de los Estados Financieros</w:t>
    </w:r>
  </w:p>
  <w:p w:rsidR="009D0933" w:rsidRDefault="009D0933">
    <w:pPr>
      <w:pStyle w:val="Encabezamien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33"/>
    <w:rsid w:val="000435E2"/>
    <w:rsid w:val="000D3238"/>
    <w:rsid w:val="002C0CB9"/>
    <w:rsid w:val="004614C6"/>
    <w:rsid w:val="008706C3"/>
    <w:rsid w:val="009D0933"/>
    <w:rsid w:val="00FA2C36"/>
    <w:rsid w:val="00FC2BC8"/>
    <w:rsid w:val="00FC3A9D"/>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3644D-2E53-46DA-825F-2E60910E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DB"/>
    <w:pPr>
      <w:spacing w:after="200" w:line="360"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E55B2C"/>
    <w:rPr>
      <w:rFonts w:cs="Times New Roman"/>
      <w:color w:val="0000FF"/>
      <w:u w:val="single"/>
    </w:rPr>
  </w:style>
  <w:style w:type="character" w:styleId="Textoennegrita">
    <w:name w:val="Strong"/>
    <w:basedOn w:val="Fuentedeprrafopredeter"/>
    <w:uiPriority w:val="22"/>
    <w:qFormat/>
    <w:rsid w:val="00E55B2C"/>
    <w:rPr>
      <w:rFonts w:cs="Times New Roman"/>
      <w:b/>
      <w:bCs/>
    </w:rPr>
  </w:style>
  <w:style w:type="character" w:customStyle="1" w:styleId="Destacado">
    <w:name w:val="Destacado"/>
    <w:basedOn w:val="Fuentedeprrafopredeter"/>
    <w:uiPriority w:val="20"/>
    <w:qFormat/>
    <w:rsid w:val="00E55B2C"/>
    <w:rPr>
      <w:rFonts w:cs="Times New Roman"/>
      <w:i/>
      <w:iCs/>
    </w:rPr>
  </w:style>
  <w:style w:type="character" w:customStyle="1" w:styleId="Textoindependiente2Car">
    <w:name w:val="Texto independiente 2 Car"/>
    <w:basedOn w:val="Fuentedeprrafopredeter"/>
    <w:link w:val="Textoindependiente2"/>
    <w:uiPriority w:val="99"/>
    <w:qFormat/>
    <w:locked/>
    <w:rsid w:val="00F465E8"/>
    <w:rPr>
      <w:rFonts w:cs="Times New Roman"/>
    </w:rPr>
  </w:style>
  <w:style w:type="character" w:customStyle="1" w:styleId="EncabezadoCar">
    <w:name w:val="Encabezado Car"/>
    <w:basedOn w:val="Fuentedeprrafopredeter"/>
    <w:link w:val="Encabezado"/>
    <w:uiPriority w:val="99"/>
    <w:qFormat/>
    <w:locked/>
    <w:rsid w:val="00F465E8"/>
    <w:rPr>
      <w:rFonts w:cs="Times New Roman"/>
    </w:rPr>
  </w:style>
  <w:style w:type="character" w:customStyle="1" w:styleId="PiedepginaCar">
    <w:name w:val="Pie de página Car"/>
    <w:basedOn w:val="Fuentedeprrafopredeter"/>
    <w:link w:val="Piedepgina"/>
    <w:uiPriority w:val="99"/>
    <w:qFormat/>
    <w:locked/>
    <w:rsid w:val="00F465E8"/>
    <w:rPr>
      <w:rFonts w:cs="Times New Roman"/>
    </w:rPr>
  </w:style>
  <w:style w:type="character" w:customStyle="1" w:styleId="TextoindependienteCar">
    <w:name w:val="Texto independiente Car"/>
    <w:basedOn w:val="Fuentedeprrafopredeter"/>
    <w:link w:val="Cuerpodetexto"/>
    <w:uiPriority w:val="99"/>
    <w:qFormat/>
    <w:locked/>
    <w:rsid w:val="00C27D32"/>
    <w:rPr>
      <w:rFonts w:cs="Times New Roman"/>
    </w:rPr>
  </w:style>
  <w:style w:type="character" w:customStyle="1" w:styleId="TextodegloboCar">
    <w:name w:val="Texto de globo Car"/>
    <w:basedOn w:val="Fuentedeprrafopredeter"/>
    <w:link w:val="Textodeglobo"/>
    <w:uiPriority w:val="99"/>
    <w:semiHidden/>
    <w:qFormat/>
    <w:locked/>
    <w:rsid w:val="00433B8B"/>
    <w:rPr>
      <w:rFonts w:ascii="Tahoma" w:hAnsi="Tahoma" w:cs="Tahoma"/>
      <w:sz w:val="16"/>
      <w:szCs w:val="16"/>
    </w:rPr>
  </w:style>
  <w:style w:type="character" w:customStyle="1" w:styleId="PuestoCar">
    <w:name w:val="Puesto Car"/>
    <w:basedOn w:val="Fuentedeprrafopredeter"/>
    <w:link w:val="Ttulo"/>
    <w:uiPriority w:val="10"/>
    <w:qFormat/>
    <w:locked/>
    <w:rsid w:val="00C15304"/>
    <w:rPr>
      <w:rFonts w:ascii="Times New Roman" w:hAnsi="Times New Roman" w:cs="Times New Roman"/>
      <w:b/>
      <w:sz w:val="20"/>
      <w:szCs w:val="20"/>
      <w:lang w:val="en-US" w:eastAsia="es-ES"/>
    </w:rPr>
  </w:style>
  <w:style w:type="character" w:customStyle="1" w:styleId="SubttuloCar">
    <w:name w:val="Subtítulo Car"/>
    <w:basedOn w:val="Fuentedeprrafopredeter"/>
    <w:link w:val="Subttulo"/>
    <w:uiPriority w:val="11"/>
    <w:qFormat/>
    <w:locked/>
    <w:rsid w:val="00C15304"/>
    <w:rPr>
      <w:rFonts w:ascii="Cambria" w:hAnsi="Cambria" w:cs="Times New Roman"/>
      <w:i/>
      <w:iCs/>
      <w:color w:val="4F81BD"/>
      <w:spacing w:val="15"/>
      <w:sz w:val="24"/>
      <w:szCs w:val="24"/>
      <w:lang w:eastAsia="es-ES"/>
    </w:rPr>
  </w:style>
  <w:style w:type="character" w:customStyle="1" w:styleId="Textoindependiente3Car">
    <w:name w:val="Texto independiente 3 Car"/>
    <w:basedOn w:val="Fuentedeprrafopredeter"/>
    <w:link w:val="Textoindependiente3"/>
    <w:uiPriority w:val="99"/>
    <w:qFormat/>
    <w:locked/>
    <w:rsid w:val="00C0132D"/>
    <w:rPr>
      <w:rFonts w:ascii="Times New Roman" w:hAnsi="Times New Roman" w:cs="Times New Roman"/>
      <w:sz w:val="16"/>
      <w:szCs w:val="16"/>
      <w:lang w:eastAsia="es-ES"/>
    </w:rPr>
  </w:style>
  <w:style w:type="character" w:styleId="Nmerodelnea">
    <w:name w:val="line number"/>
    <w:basedOn w:val="Fuentedeprrafopredeter"/>
    <w:uiPriority w:val="99"/>
    <w:semiHidden/>
    <w:unhideWhenUsed/>
    <w:qFormat/>
    <w:rsid w:val="00357BAE"/>
    <w:rPr>
      <w:rFonts w:cs="Times New Roman"/>
    </w:rPr>
  </w:style>
  <w:style w:type="character" w:styleId="Refdecomentario">
    <w:name w:val="annotation reference"/>
    <w:basedOn w:val="Fuentedeprrafopredeter"/>
    <w:uiPriority w:val="99"/>
    <w:semiHidden/>
    <w:unhideWhenUsed/>
    <w:qFormat/>
    <w:rsid w:val="00CF0CC6"/>
    <w:rPr>
      <w:sz w:val="16"/>
      <w:szCs w:val="16"/>
    </w:rPr>
  </w:style>
  <w:style w:type="character" w:customStyle="1" w:styleId="TextocomentarioCar">
    <w:name w:val="Texto comentario Car"/>
    <w:basedOn w:val="Fuentedeprrafopredeter"/>
    <w:link w:val="Textocomentario"/>
    <w:uiPriority w:val="99"/>
    <w:semiHidden/>
    <w:qFormat/>
    <w:rsid w:val="00CF0CC6"/>
    <w:rPr>
      <w:lang w:val="es-ES" w:eastAsia="en-US"/>
    </w:rPr>
  </w:style>
  <w:style w:type="character" w:customStyle="1" w:styleId="AsuntodelcomentarioCar">
    <w:name w:val="Asunto del comentario Car"/>
    <w:basedOn w:val="TextocomentarioCar"/>
    <w:link w:val="Asuntodelcomentario"/>
    <w:uiPriority w:val="99"/>
    <w:semiHidden/>
    <w:qFormat/>
    <w:rsid w:val="00CF0CC6"/>
    <w:rPr>
      <w:b/>
      <w:bCs/>
      <w:lang w:val="es-ES" w:eastAsia="en-US"/>
    </w:rPr>
  </w:style>
  <w:style w:type="character" w:customStyle="1" w:styleId="ListLabel1">
    <w:name w:val="ListLabel 1"/>
    <w:qFormat/>
    <w:rPr>
      <w:color w:val="0070C0"/>
    </w:rPr>
  </w:style>
  <w:style w:type="character" w:customStyle="1" w:styleId="ListLabel2">
    <w:name w:val="ListLabel 2"/>
    <w:qFormat/>
    <w:rPr>
      <w:rFonts w:cs="Times New Roman"/>
    </w:rPr>
  </w:style>
  <w:style w:type="character" w:customStyle="1" w:styleId="ListLabel3">
    <w:name w:val="ListLabel 3"/>
    <w:qFormat/>
    <w:rPr>
      <w:rFonts w:cs="Times New Roman"/>
      <w:color w:val="00000A"/>
    </w:rPr>
  </w:style>
  <w:style w:type="character" w:customStyle="1" w:styleId="ListLabel4">
    <w:name w:val="ListLabel 4"/>
    <w:qFormat/>
    <w:rPr>
      <w:rFonts w:cs="Times New Roman"/>
      <w:color w:val="548DD4"/>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link w:val="TextoindependienteCar"/>
    <w:uiPriority w:val="99"/>
    <w:unhideWhenUsed/>
    <w:rsid w:val="00C27D32"/>
    <w:pPr>
      <w:spacing w:after="120"/>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NormalWeb">
    <w:name w:val="Normal (Web)"/>
    <w:basedOn w:val="Normal"/>
    <w:uiPriority w:val="99"/>
    <w:unhideWhenUsed/>
    <w:qFormat/>
    <w:rsid w:val="00E55B2C"/>
    <w:pPr>
      <w:spacing w:beforeAutospacing="1" w:afterAutospacing="1" w:line="240" w:lineRule="auto"/>
      <w:jc w:val="left"/>
    </w:pPr>
    <w:rPr>
      <w:rFonts w:ascii="Times New Roman" w:hAnsi="Times New Roman"/>
      <w:sz w:val="24"/>
      <w:szCs w:val="24"/>
      <w:lang w:eastAsia="es-ES"/>
    </w:rPr>
  </w:style>
  <w:style w:type="paragraph" w:styleId="Textoindependiente2">
    <w:name w:val="Body Text 2"/>
    <w:basedOn w:val="Normal"/>
    <w:link w:val="Textoindependiente2Car"/>
    <w:uiPriority w:val="99"/>
    <w:unhideWhenUsed/>
    <w:qFormat/>
    <w:rsid w:val="00F465E8"/>
    <w:pPr>
      <w:spacing w:after="120" w:line="480" w:lineRule="auto"/>
      <w:jc w:val="left"/>
    </w:pPr>
  </w:style>
  <w:style w:type="paragraph" w:styleId="Prrafodelista">
    <w:name w:val="List Paragraph"/>
    <w:basedOn w:val="Normal"/>
    <w:uiPriority w:val="34"/>
    <w:qFormat/>
    <w:rsid w:val="00F465E8"/>
    <w:pPr>
      <w:spacing w:after="0" w:line="240" w:lineRule="auto"/>
      <w:ind w:left="720"/>
      <w:contextualSpacing/>
      <w:jc w:val="left"/>
    </w:pPr>
  </w:style>
  <w:style w:type="paragraph" w:customStyle="1" w:styleId="Noparagraphstyle">
    <w:name w:val="[No paragraph style]"/>
    <w:qFormat/>
    <w:rsid w:val="00F465E8"/>
    <w:pPr>
      <w:widowControl w:val="0"/>
      <w:spacing w:line="288" w:lineRule="auto"/>
    </w:pPr>
    <w:rPr>
      <w:rFonts w:ascii="Times New Roman" w:hAnsi="Times New Roman"/>
      <w:color w:val="000000"/>
      <w:sz w:val="24"/>
      <w:szCs w:val="24"/>
      <w:lang w:val="es-ES" w:eastAsia="es-ES"/>
    </w:rPr>
  </w:style>
  <w:style w:type="paragraph" w:customStyle="1" w:styleId="noparagraphstyle0">
    <w:name w:val="noparagraphstyle"/>
    <w:basedOn w:val="Normal"/>
    <w:qFormat/>
    <w:rsid w:val="00F465E8"/>
    <w:pPr>
      <w:spacing w:beforeAutospacing="1" w:afterAutospacing="1" w:line="240" w:lineRule="auto"/>
      <w:jc w:val="left"/>
    </w:pPr>
    <w:rPr>
      <w:rFonts w:ascii="Times New Roman" w:hAnsi="Times New Roman"/>
      <w:sz w:val="24"/>
      <w:szCs w:val="24"/>
      <w:lang w:eastAsia="es-ES"/>
    </w:rPr>
  </w:style>
  <w:style w:type="paragraph" w:styleId="Sinespaciado">
    <w:name w:val="No Spacing"/>
    <w:uiPriority w:val="1"/>
    <w:qFormat/>
    <w:rsid w:val="00F465E8"/>
    <w:rPr>
      <w:sz w:val="22"/>
      <w:szCs w:val="22"/>
      <w:lang w:val="en-US" w:eastAsia="en-US"/>
    </w:rPr>
  </w:style>
  <w:style w:type="paragraph" w:customStyle="1" w:styleId="Encabezamiento">
    <w:name w:val="Encabezamiento"/>
    <w:basedOn w:val="Normal"/>
    <w:uiPriority w:val="99"/>
    <w:unhideWhenUsed/>
    <w:rsid w:val="00F465E8"/>
    <w:pPr>
      <w:tabs>
        <w:tab w:val="center" w:pos="4252"/>
        <w:tab w:val="right" w:pos="8504"/>
      </w:tabs>
      <w:spacing w:after="0" w:line="240" w:lineRule="auto"/>
    </w:pPr>
  </w:style>
  <w:style w:type="paragraph" w:styleId="Piedepgina">
    <w:name w:val="footer"/>
    <w:basedOn w:val="Normal"/>
    <w:link w:val="PiedepginaCar"/>
    <w:uiPriority w:val="99"/>
    <w:unhideWhenUsed/>
    <w:rsid w:val="00F465E8"/>
    <w:pPr>
      <w:tabs>
        <w:tab w:val="center" w:pos="4252"/>
        <w:tab w:val="right" w:pos="8504"/>
      </w:tabs>
      <w:spacing w:after="0" w:line="240" w:lineRule="auto"/>
    </w:pPr>
  </w:style>
  <w:style w:type="paragraph" w:styleId="Textodebloque">
    <w:name w:val="Block Text"/>
    <w:basedOn w:val="Normal"/>
    <w:uiPriority w:val="99"/>
    <w:semiHidden/>
    <w:qFormat/>
    <w:rsid w:val="00C27D32"/>
    <w:pPr>
      <w:spacing w:after="0" w:line="240" w:lineRule="auto"/>
      <w:ind w:left="567" w:right="567"/>
    </w:pPr>
    <w:rPr>
      <w:rFonts w:ascii="Times New Roman" w:hAnsi="Times New Roman"/>
      <w:i/>
      <w:sz w:val="24"/>
      <w:szCs w:val="20"/>
      <w:lang w:val="en-US" w:eastAsia="es-ES"/>
    </w:rPr>
  </w:style>
  <w:style w:type="paragraph" w:styleId="Textodeglobo">
    <w:name w:val="Balloon Text"/>
    <w:basedOn w:val="Normal"/>
    <w:link w:val="TextodegloboCar"/>
    <w:uiPriority w:val="99"/>
    <w:semiHidden/>
    <w:unhideWhenUsed/>
    <w:qFormat/>
    <w:rsid w:val="00433B8B"/>
    <w:pPr>
      <w:spacing w:after="0" w:line="240" w:lineRule="auto"/>
    </w:pPr>
    <w:rPr>
      <w:rFonts w:ascii="Tahoma" w:hAnsi="Tahoma" w:cs="Tahoma"/>
      <w:sz w:val="16"/>
      <w:szCs w:val="16"/>
    </w:rPr>
  </w:style>
  <w:style w:type="paragraph" w:customStyle="1" w:styleId="Default">
    <w:name w:val="Default"/>
    <w:qFormat/>
    <w:rsid w:val="00C15304"/>
    <w:rPr>
      <w:rFonts w:ascii="Arial" w:hAnsi="Arial" w:cs="Arial"/>
      <w:color w:val="000000"/>
      <w:sz w:val="24"/>
      <w:szCs w:val="24"/>
      <w:lang w:val="es-ES" w:eastAsia="en-US"/>
    </w:rPr>
  </w:style>
  <w:style w:type="paragraph" w:customStyle="1" w:styleId="Ttulo">
    <w:name w:val="Título"/>
    <w:basedOn w:val="Normal"/>
    <w:link w:val="PuestoCar"/>
    <w:uiPriority w:val="10"/>
    <w:qFormat/>
    <w:rsid w:val="00C15304"/>
    <w:pPr>
      <w:spacing w:after="0" w:line="240" w:lineRule="auto"/>
      <w:jc w:val="center"/>
    </w:pPr>
    <w:rPr>
      <w:rFonts w:ascii="Times New Roman" w:hAnsi="Times New Roman"/>
      <w:b/>
      <w:sz w:val="28"/>
      <w:szCs w:val="20"/>
      <w:lang w:val="en-US" w:eastAsia="es-ES"/>
    </w:rPr>
  </w:style>
  <w:style w:type="paragraph" w:styleId="Subttulo">
    <w:name w:val="Subtitle"/>
    <w:basedOn w:val="Normal"/>
    <w:next w:val="Normal"/>
    <w:link w:val="SubttuloCar"/>
    <w:uiPriority w:val="11"/>
    <w:qFormat/>
    <w:rsid w:val="00C15304"/>
    <w:pPr>
      <w:spacing w:after="0" w:line="240" w:lineRule="auto"/>
      <w:jc w:val="left"/>
    </w:pPr>
    <w:rPr>
      <w:rFonts w:ascii="Cambria" w:hAnsi="Cambria"/>
      <w:i/>
      <w:iCs/>
      <w:color w:val="4F81BD"/>
      <w:spacing w:val="15"/>
      <w:sz w:val="24"/>
      <w:szCs w:val="24"/>
      <w:lang w:eastAsia="es-ES"/>
    </w:rPr>
  </w:style>
  <w:style w:type="paragraph" w:customStyle="1" w:styleId="Car">
    <w:name w:val="Car"/>
    <w:basedOn w:val="Normal"/>
    <w:qFormat/>
    <w:rsid w:val="00A30C4A"/>
    <w:pPr>
      <w:spacing w:after="160" w:line="240" w:lineRule="exact"/>
      <w:jc w:val="left"/>
    </w:pPr>
    <w:rPr>
      <w:rFonts w:ascii="Arial" w:hAnsi="Arial"/>
      <w:sz w:val="20"/>
      <w:szCs w:val="20"/>
      <w:lang w:val="en-US"/>
    </w:rPr>
  </w:style>
  <w:style w:type="paragraph" w:styleId="Textoindependiente3">
    <w:name w:val="Body Text 3"/>
    <w:basedOn w:val="Normal"/>
    <w:link w:val="Textoindependiente3Car"/>
    <w:uiPriority w:val="99"/>
    <w:qFormat/>
    <w:rsid w:val="00C0132D"/>
    <w:pPr>
      <w:spacing w:after="120" w:line="240" w:lineRule="auto"/>
      <w:jc w:val="left"/>
    </w:pPr>
    <w:rPr>
      <w:rFonts w:ascii="Times New Roman" w:hAnsi="Times New Roman"/>
      <w:sz w:val="16"/>
      <w:szCs w:val="16"/>
      <w:lang w:eastAsia="es-ES"/>
    </w:rPr>
  </w:style>
  <w:style w:type="paragraph" w:styleId="Textocomentario">
    <w:name w:val="annotation text"/>
    <w:basedOn w:val="Normal"/>
    <w:link w:val="TextocomentarioCar"/>
    <w:uiPriority w:val="99"/>
    <w:semiHidden/>
    <w:unhideWhenUsed/>
    <w:qFormat/>
    <w:rsid w:val="00CF0CC6"/>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CF0CC6"/>
    <w:rPr>
      <w:b/>
      <w:bCs/>
    </w:rPr>
  </w:style>
  <w:style w:type="table" w:styleId="Tablaconcuadrcula">
    <w:name w:val="Table Grid"/>
    <w:basedOn w:val="Tablanormal"/>
    <w:uiPriority w:val="59"/>
    <w:rsid w:val="00F46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CD863-2B28-4765-82C0-0F127D81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Notas Explicativas de los Estados Financieros</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de los Estados Financieros</dc:title>
  <dc:creator>Ligia Borges Quesada</dc:creator>
  <cp:lastModifiedBy>Jeanette</cp:lastModifiedBy>
  <cp:revision>4</cp:revision>
  <cp:lastPrinted>2019-05-14T20:15:00Z</cp:lastPrinted>
  <dcterms:created xsi:type="dcterms:W3CDTF">2019-05-10T16:14:00Z</dcterms:created>
  <dcterms:modified xsi:type="dcterms:W3CDTF">2019-05-14T20:16:00Z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